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8D41" w14:textId="4F561F96" w:rsidR="004007DC" w:rsidRPr="004007DC" w:rsidRDefault="004007DC" w:rsidP="00F773C4">
      <w:pPr>
        <w:rPr>
          <w:rFonts w:ascii="Calibri" w:eastAsia="Times New Roman" w:hAnsi="Calibri" w:cs="Calibri"/>
          <w:b/>
          <w:bCs/>
          <w:color w:val="000000"/>
        </w:rPr>
      </w:pPr>
      <w:r w:rsidRPr="004007DC">
        <w:rPr>
          <w:rFonts w:ascii="Calibri" w:eastAsia="Times New Roman" w:hAnsi="Calibri" w:cs="Calibri"/>
          <w:b/>
          <w:bCs/>
          <w:color w:val="000000"/>
        </w:rPr>
        <w:t>Titles and Abstracts of the Natural Theology conference, March 30-31, 2022</w:t>
      </w:r>
    </w:p>
    <w:p w14:paraId="3A4088AC" w14:textId="77777777" w:rsidR="004007DC" w:rsidRDefault="004007DC" w:rsidP="00F773C4">
      <w:pPr>
        <w:rPr>
          <w:rFonts w:ascii="Calibri" w:eastAsia="Times New Roman" w:hAnsi="Calibri" w:cs="Calibri"/>
          <w:color w:val="000000"/>
        </w:rPr>
      </w:pPr>
    </w:p>
    <w:p w14:paraId="0AACA415" w14:textId="77777777" w:rsidR="004007DC" w:rsidRDefault="004007DC" w:rsidP="00F773C4">
      <w:pPr>
        <w:rPr>
          <w:rFonts w:ascii="Calibri" w:eastAsia="Times New Roman" w:hAnsi="Calibri" w:cs="Calibri"/>
          <w:color w:val="000000"/>
        </w:rPr>
      </w:pPr>
    </w:p>
    <w:p w14:paraId="524FAE92" w14:textId="58C7F91D" w:rsidR="00F773C4" w:rsidRPr="00887FB1" w:rsidRDefault="00F773C4" w:rsidP="00F773C4">
      <w:pPr>
        <w:rPr>
          <w:rFonts w:ascii="Calibri" w:eastAsia="Times New Roman" w:hAnsi="Calibri" w:cs="Calibri"/>
          <w:color w:val="000000"/>
        </w:rPr>
      </w:pPr>
      <w:r w:rsidRPr="00887FB1">
        <w:rPr>
          <w:rFonts w:ascii="Calibri" w:eastAsia="Times New Roman" w:hAnsi="Calibri" w:cs="Calibri"/>
          <w:color w:val="000000"/>
        </w:rPr>
        <w:t xml:space="preserve">Karmen </w:t>
      </w:r>
      <w:proofErr w:type="spellStart"/>
      <w:r w:rsidRPr="00887FB1">
        <w:rPr>
          <w:rFonts w:ascii="Calibri" w:eastAsia="Times New Roman" w:hAnsi="Calibri" w:cs="Calibri"/>
          <w:color w:val="000000"/>
        </w:rPr>
        <w:t>MacKendrick</w:t>
      </w:r>
      <w:proofErr w:type="spellEnd"/>
    </w:p>
    <w:p w14:paraId="55E8FCDE" w14:textId="77777777" w:rsidR="00F773C4" w:rsidRPr="00887FB1" w:rsidRDefault="00F773C4" w:rsidP="00F773C4">
      <w:pPr>
        <w:rPr>
          <w:rFonts w:ascii="Calibri" w:eastAsia="Times New Roman" w:hAnsi="Calibri" w:cs="Calibri"/>
          <w:i/>
          <w:iCs/>
          <w:color w:val="000000"/>
        </w:rPr>
      </w:pPr>
      <w:r w:rsidRPr="00887FB1">
        <w:rPr>
          <w:rFonts w:ascii="Calibri" w:eastAsia="Times New Roman" w:hAnsi="Calibri" w:cs="Calibri"/>
          <w:i/>
          <w:iCs/>
          <w:color w:val="000000"/>
        </w:rPr>
        <w:t>Out of Bounds: Collection, Division, Creation</w:t>
      </w:r>
    </w:p>
    <w:p w14:paraId="6639A4B7" w14:textId="77777777" w:rsidR="00F773C4" w:rsidRPr="00887FB1" w:rsidRDefault="00F773C4" w:rsidP="00F773C4">
      <w:pPr>
        <w:spacing w:before="100" w:beforeAutospacing="1" w:after="100" w:afterAutospacing="1"/>
        <w:rPr>
          <w:rFonts w:ascii="Calibri" w:eastAsia="Times New Roman" w:hAnsi="Calibri" w:cs="Calibri"/>
          <w:color w:val="000000"/>
        </w:rPr>
      </w:pPr>
      <w:r w:rsidRPr="00887FB1">
        <w:rPr>
          <w:rFonts w:ascii="Calibri" w:eastAsia="Times New Roman" w:hAnsi="Calibri" w:cs="Calibri"/>
          <w:color w:val="000000"/>
        </w:rPr>
        <w:t>There are surprisingly many ways to get past the traditional, rigid, and everlasting boundary that separates an infinite divine creator from limited mundane creation. This paper explores some of these ways, with a focus on not merely crossing or even dissolving the boundary but rethinking what boundedness can mean in creation theology. The possibilities form a wide-ranging group, from mystic union to Valentinian cosmology to Thomist resurrection, and more.  Each rethinking offers an epiphanic shift in perspective, revealing immanent infinity in the everyday.</w:t>
      </w:r>
    </w:p>
    <w:p w14:paraId="7DDE4024" w14:textId="77777777" w:rsidR="00F773C4" w:rsidRDefault="00F773C4" w:rsidP="00F773C4"/>
    <w:p w14:paraId="29ED4848" w14:textId="193BAEA3" w:rsidR="00F773C4" w:rsidRDefault="00F773C4" w:rsidP="00F773C4">
      <w:r>
        <w:t>Jean-Luc Marion</w:t>
      </w:r>
    </w:p>
    <w:p w14:paraId="43446DFD" w14:textId="70EAC221" w:rsidR="00F773C4" w:rsidRDefault="004007DC" w:rsidP="00F773C4">
      <w:pPr>
        <w:rPr>
          <w:i/>
          <w:iCs/>
        </w:rPr>
      </w:pPr>
      <w:r w:rsidRPr="004007DC">
        <w:rPr>
          <w:i/>
          <w:iCs/>
        </w:rPr>
        <w:t>Karl Barth on the Being of the World Before God</w:t>
      </w:r>
    </w:p>
    <w:p w14:paraId="79266DB0" w14:textId="77777777" w:rsidR="004007DC" w:rsidRPr="004007DC" w:rsidRDefault="004007DC" w:rsidP="00F773C4">
      <w:pPr>
        <w:rPr>
          <w:i/>
          <w:iCs/>
        </w:rPr>
      </w:pPr>
    </w:p>
    <w:p w14:paraId="4B1E2DBB" w14:textId="3A70C3CE" w:rsidR="00F773C4" w:rsidRPr="001345CB" w:rsidRDefault="00F773C4" w:rsidP="00F773C4">
      <w:r w:rsidRPr="001345CB">
        <w:t xml:space="preserve">A close reading of Karl Barth’s </w:t>
      </w:r>
      <w:r w:rsidR="004007DC" w:rsidRPr="004007DC">
        <w:rPr>
          <w:i/>
          <w:iCs/>
        </w:rPr>
        <w:t>Letter to the Romans</w:t>
      </w:r>
      <w:r w:rsidR="004007DC">
        <w:t xml:space="preserve"> </w:t>
      </w:r>
      <w:r w:rsidRPr="001345CB">
        <w:t>(1</w:t>
      </w:r>
      <w:r w:rsidRPr="001345CB">
        <w:rPr>
          <w:vertAlign w:val="superscript"/>
        </w:rPr>
        <w:t>st</w:t>
      </w:r>
      <w:r w:rsidRPr="001345CB">
        <w:t xml:space="preserve"> edition) may help us identify </w:t>
      </w:r>
      <w:r w:rsidR="004007DC">
        <w:t>the</w:t>
      </w:r>
      <w:r w:rsidRPr="001345CB">
        <w:t xml:space="preserve"> real</w:t>
      </w:r>
      <w:r>
        <w:t xml:space="preserve"> </w:t>
      </w:r>
      <w:r w:rsidRPr="001345CB">
        <w:t xml:space="preserve">breakthrough </w:t>
      </w:r>
      <w:r w:rsidR="004007DC">
        <w:t xml:space="preserve">of this theologian </w:t>
      </w:r>
      <w:r w:rsidRPr="001345CB">
        <w:t xml:space="preserve">– a breakthrough whose implications for philosophy have yet to be noted. </w:t>
      </w:r>
      <w:r w:rsidR="004007DC">
        <w:t>Barth’s</w:t>
      </w:r>
      <w:r w:rsidRPr="001345CB">
        <w:t xml:space="preserve"> breakthrough has less to do with </w:t>
      </w:r>
      <w:r>
        <w:t>his</w:t>
      </w:r>
      <w:r w:rsidRPr="001345CB">
        <w:t xml:space="preserve"> rejection of </w:t>
      </w:r>
      <w:r>
        <w:t xml:space="preserve">the </w:t>
      </w:r>
      <w:r w:rsidRPr="001345CB">
        <w:rPr>
          <w:i/>
          <w:iCs/>
        </w:rPr>
        <w:t xml:space="preserve">analogia </w:t>
      </w:r>
      <w:proofErr w:type="spellStart"/>
      <w:r w:rsidRPr="001345CB">
        <w:rPr>
          <w:i/>
          <w:iCs/>
        </w:rPr>
        <w:t>entis</w:t>
      </w:r>
      <w:proofErr w:type="spellEnd"/>
      <w:r w:rsidRPr="001345CB">
        <w:t xml:space="preserve"> in the </w:t>
      </w:r>
      <w:r>
        <w:rPr>
          <w:i/>
          <w:iCs/>
        </w:rPr>
        <w:t xml:space="preserve">Church </w:t>
      </w:r>
      <w:r w:rsidRPr="001345CB">
        <w:rPr>
          <w:i/>
          <w:iCs/>
        </w:rPr>
        <w:t>Dogmati</w:t>
      </w:r>
      <w:r>
        <w:rPr>
          <w:i/>
          <w:iCs/>
        </w:rPr>
        <w:t>cs</w:t>
      </w:r>
      <w:r w:rsidRPr="001345CB">
        <w:t xml:space="preserve"> (this critique is not as precise and pertinent as often imagined) than </w:t>
      </w:r>
      <w:r>
        <w:t>with</w:t>
      </w:r>
      <w:r w:rsidRPr="001345CB">
        <w:t xml:space="preserve"> the way </w:t>
      </w:r>
      <w:r>
        <w:t>in which he</w:t>
      </w:r>
      <w:r w:rsidRPr="001345CB">
        <w:t xml:space="preserve"> replac</w:t>
      </w:r>
      <w:r>
        <w:t>es</w:t>
      </w:r>
      <w:r w:rsidRPr="001345CB">
        <w:t xml:space="preserve"> the question of being, and the claim that this is the first question, </w:t>
      </w:r>
      <w:r>
        <w:t xml:space="preserve">with </w:t>
      </w:r>
      <w:r w:rsidRPr="001345CB">
        <w:t>a new starting point in the event of God’s revelation in Christ. Th</w:t>
      </w:r>
      <w:r w:rsidR="004007DC">
        <w:t>is</w:t>
      </w:r>
      <w:r w:rsidRPr="001345CB">
        <w:t xml:space="preserve"> revelatory event m</w:t>
      </w:r>
      <w:r>
        <w:t>us</w:t>
      </w:r>
      <w:r w:rsidRPr="001345CB">
        <w:t xml:space="preserve">t ground all thinking, including </w:t>
      </w:r>
      <w:r>
        <w:t xml:space="preserve">thinking </w:t>
      </w:r>
      <w:r w:rsidRPr="001345CB">
        <w:t>on being. The present contribution seeks to show how Barth effects this reversal.</w:t>
      </w:r>
    </w:p>
    <w:p w14:paraId="6BEBCD39" w14:textId="77777777" w:rsidR="00F773C4" w:rsidRDefault="00F773C4" w:rsidP="00F773C4"/>
    <w:p w14:paraId="674CD239" w14:textId="77777777" w:rsidR="00F773C4" w:rsidRDefault="00F773C4" w:rsidP="00F773C4"/>
    <w:p w14:paraId="48E5FB3A" w14:textId="0929C7F3" w:rsidR="00F773C4" w:rsidRPr="002C45F5" w:rsidRDefault="00F773C4" w:rsidP="00F773C4">
      <w:r w:rsidRPr="002C45F5">
        <w:t>Willemien Otten</w:t>
      </w:r>
    </w:p>
    <w:p w14:paraId="39E3AED2" w14:textId="77777777" w:rsidR="00F773C4" w:rsidRPr="002C45F5" w:rsidRDefault="00F773C4" w:rsidP="00F773C4">
      <w:pPr>
        <w:rPr>
          <w:i/>
          <w:iCs/>
        </w:rPr>
      </w:pPr>
      <w:r w:rsidRPr="002C45F5">
        <w:rPr>
          <w:i/>
          <w:iCs/>
        </w:rPr>
        <w:t xml:space="preserve">Double or Nothing: Creation and Gender in </w:t>
      </w:r>
      <w:proofErr w:type="spellStart"/>
      <w:r w:rsidRPr="002C45F5">
        <w:rPr>
          <w:i/>
          <w:iCs/>
        </w:rPr>
        <w:t>Eriugena</w:t>
      </w:r>
      <w:proofErr w:type="spellEnd"/>
      <w:r w:rsidRPr="002C45F5">
        <w:rPr>
          <w:i/>
          <w:iCs/>
        </w:rPr>
        <w:t xml:space="preserve">, Hildegard, and </w:t>
      </w:r>
      <w:proofErr w:type="spellStart"/>
      <w:r w:rsidRPr="002C45F5">
        <w:rPr>
          <w:i/>
          <w:iCs/>
        </w:rPr>
        <w:t>Hadewijch</w:t>
      </w:r>
      <w:proofErr w:type="spellEnd"/>
    </w:p>
    <w:p w14:paraId="6EB68474" w14:textId="77777777" w:rsidR="00F773C4" w:rsidRPr="002C45F5" w:rsidRDefault="00F773C4" w:rsidP="00F773C4">
      <w:pPr>
        <w:rPr>
          <w:i/>
          <w:iCs/>
        </w:rPr>
      </w:pPr>
    </w:p>
    <w:p w14:paraId="6B0451FF" w14:textId="77777777" w:rsidR="00F773C4" w:rsidRPr="002C45F5" w:rsidRDefault="00F773C4" w:rsidP="00F773C4">
      <w:r w:rsidRPr="002C45F5">
        <w:t xml:space="preserve">The creation of humanity in Christianity is marked by a </w:t>
      </w:r>
      <w:r>
        <w:t xml:space="preserve">certain </w:t>
      </w:r>
      <w:r w:rsidRPr="002C45F5">
        <w:t xml:space="preserve">doubling: </w:t>
      </w:r>
      <w:r>
        <w:t xml:space="preserve">created in God’s image, </w:t>
      </w:r>
      <w:r w:rsidRPr="002C45F5">
        <w:t xml:space="preserve">the human being is created as male and female. Whereas in early Christianity (Gregory of Nyssa), this </w:t>
      </w:r>
      <w:r>
        <w:t xml:space="preserve">occasioned </w:t>
      </w:r>
      <w:r w:rsidRPr="002C45F5">
        <w:t xml:space="preserve">speculation </w:t>
      </w:r>
      <w:r>
        <w:t>about</w:t>
      </w:r>
      <w:r w:rsidRPr="002C45F5">
        <w:t xml:space="preserve"> an antecedent humanity</w:t>
      </w:r>
      <w:r>
        <w:t xml:space="preserve"> that was undivided</w:t>
      </w:r>
      <w:r w:rsidRPr="002C45F5">
        <w:t xml:space="preserve">, the Middle Ages, following Augustine, </w:t>
      </w:r>
      <w:r>
        <w:t xml:space="preserve">accommodate </w:t>
      </w:r>
      <w:r w:rsidRPr="002C45F5">
        <w:t xml:space="preserve">this </w:t>
      </w:r>
      <w:r>
        <w:t xml:space="preserve">biblical </w:t>
      </w:r>
      <w:r w:rsidRPr="002C45F5">
        <w:t>doubling</w:t>
      </w:r>
      <w:r>
        <w:t>,</w:t>
      </w:r>
      <w:r w:rsidRPr="002C45F5">
        <w:t xml:space="preserve"> </w:t>
      </w:r>
      <w:r>
        <w:t xml:space="preserve">with </w:t>
      </w:r>
      <w:proofErr w:type="spellStart"/>
      <w:r w:rsidRPr="002C45F5">
        <w:t>Eriugena</w:t>
      </w:r>
      <w:proofErr w:type="spellEnd"/>
      <w:r w:rsidRPr="002C45F5">
        <w:t xml:space="preserve"> </w:t>
      </w:r>
      <w:r>
        <w:t xml:space="preserve">(ca. 810-877) </w:t>
      </w:r>
      <w:r w:rsidRPr="002C45F5">
        <w:t>put</w:t>
      </w:r>
      <w:r>
        <w:t>ting</w:t>
      </w:r>
      <w:r w:rsidRPr="002C45F5">
        <w:t xml:space="preserve"> his own twist on </w:t>
      </w:r>
      <w:r>
        <w:t>it.  The appearance of women writers in the twelfth century presents us with another, more uncomfortable doubling. How can women’s subservient status</w:t>
      </w:r>
      <w:r w:rsidRPr="002170E2">
        <w:t xml:space="preserve"> </w:t>
      </w:r>
      <w:r>
        <w:t xml:space="preserve">be negotiated such that women authors rise above it? The tension is no longer primarily that of male and female but of self and image of self on the one hand, and given their authorship of mystical texts, of self and God on the other. </w:t>
      </w:r>
      <w:proofErr w:type="spellStart"/>
      <w:r>
        <w:t>Hadewijch</w:t>
      </w:r>
      <w:proofErr w:type="spellEnd"/>
      <w:r>
        <w:t xml:space="preserve"> (mid 13</w:t>
      </w:r>
      <w:r w:rsidRPr="00E02009">
        <w:rPr>
          <w:vertAlign w:val="superscript"/>
        </w:rPr>
        <w:t>th</w:t>
      </w:r>
      <w:r>
        <w:t xml:space="preserve"> cent.) desires to teach and to secure a direct union with Christ for herself. Her stance has become reflected in the view of women’s mysticism as a liberative impulse, inviting the aspirational, transgressive, or queered self of the beguines. In comparison, the earlier Hildegard of </w:t>
      </w:r>
      <w:proofErr w:type="spellStart"/>
      <w:r>
        <w:t>Bingen</w:t>
      </w:r>
      <w:proofErr w:type="spellEnd"/>
      <w:r>
        <w:t xml:space="preserve"> (1098-1179) doubles down</w:t>
      </w:r>
      <w:r w:rsidRPr="004A7F0A">
        <w:t xml:space="preserve"> </w:t>
      </w:r>
      <w:r>
        <w:t xml:space="preserve">rather than overcomes division. In her starkly traditional exegetical </w:t>
      </w:r>
      <w:proofErr w:type="gramStart"/>
      <w:r>
        <w:t>visions</w:t>
      </w:r>
      <w:proofErr w:type="gramEnd"/>
      <w:r>
        <w:t xml:space="preserve"> her selfhood </w:t>
      </w:r>
      <w:r>
        <w:lastRenderedPageBreak/>
        <w:t>remains deeply buried beneath her monastic persona</w:t>
      </w:r>
      <w:r w:rsidRPr="004E38E9">
        <w:t xml:space="preserve"> </w:t>
      </w:r>
      <w:r>
        <w:t>as submissive to both the divine and the social order. Yet a question about the status of her visions remains: does Hildegard interpret the biblical creation story or is she taking us on a cosmological detour</w:t>
      </w:r>
      <w:r w:rsidRPr="004E38E9">
        <w:t xml:space="preserve"> </w:t>
      </w:r>
      <w:r>
        <w:t>of her own to perform, and conceal, what is essentially a case of authorial self-creation.</w:t>
      </w:r>
    </w:p>
    <w:p w14:paraId="257D1680" w14:textId="77777777" w:rsidR="00F773C4" w:rsidRDefault="00F773C4" w:rsidP="00367492">
      <w:pPr>
        <w:pStyle w:val="Body1"/>
        <w:rPr>
          <w:rFonts w:asciiTheme="minorHAnsi" w:eastAsia="Times New Roman" w:hAnsiTheme="minorHAnsi" w:cstheme="minorHAnsi"/>
          <w:color w:val="auto"/>
          <w:lang w:val="nl-NL"/>
        </w:rPr>
      </w:pPr>
    </w:p>
    <w:p w14:paraId="683EB656" w14:textId="77777777" w:rsidR="00F773C4" w:rsidRPr="004007DC" w:rsidRDefault="00F773C4" w:rsidP="00367492">
      <w:pPr>
        <w:pStyle w:val="Body1"/>
        <w:rPr>
          <w:rFonts w:asciiTheme="minorHAnsi" w:eastAsia="Times New Roman" w:hAnsiTheme="minorHAnsi" w:cstheme="minorHAnsi"/>
          <w:color w:val="auto"/>
        </w:rPr>
      </w:pPr>
    </w:p>
    <w:p w14:paraId="0C5EDAC3" w14:textId="4AD4FEC5" w:rsidR="00367492" w:rsidRPr="004007DC" w:rsidRDefault="00367492" w:rsidP="004007DC">
      <w:pPr>
        <w:pStyle w:val="Body1"/>
        <w:rPr>
          <w:rFonts w:asciiTheme="minorHAnsi" w:eastAsia="Times New Roman" w:hAnsiTheme="minorHAnsi" w:cstheme="minorHAnsi"/>
          <w:color w:val="auto"/>
        </w:rPr>
      </w:pPr>
      <w:proofErr w:type="spellStart"/>
      <w:r w:rsidRPr="004007DC">
        <w:rPr>
          <w:rFonts w:asciiTheme="minorHAnsi" w:eastAsia="Times New Roman" w:hAnsiTheme="minorHAnsi" w:cstheme="minorHAnsi"/>
          <w:color w:val="auto"/>
        </w:rPr>
        <w:t>Burcht</w:t>
      </w:r>
      <w:proofErr w:type="spellEnd"/>
      <w:r w:rsidRPr="004007DC">
        <w:rPr>
          <w:rFonts w:asciiTheme="minorHAnsi" w:eastAsia="Times New Roman" w:hAnsiTheme="minorHAnsi" w:cstheme="minorHAnsi"/>
          <w:color w:val="auto"/>
        </w:rPr>
        <w:t xml:space="preserve"> </w:t>
      </w:r>
      <w:proofErr w:type="spellStart"/>
      <w:r w:rsidRPr="004007DC">
        <w:rPr>
          <w:rFonts w:asciiTheme="minorHAnsi" w:eastAsia="Times New Roman" w:hAnsiTheme="minorHAnsi" w:cstheme="minorHAnsi"/>
          <w:color w:val="auto"/>
        </w:rPr>
        <w:t>Pranger</w:t>
      </w:r>
      <w:proofErr w:type="spellEnd"/>
      <w:r w:rsidRPr="004007DC">
        <w:rPr>
          <w:rFonts w:asciiTheme="minorHAnsi" w:eastAsia="Times New Roman" w:hAnsiTheme="minorHAnsi" w:cstheme="minorHAnsi"/>
          <w:color w:val="auto"/>
        </w:rPr>
        <w:t>:</w:t>
      </w:r>
    </w:p>
    <w:p w14:paraId="2DFB0FC8" w14:textId="1FB0AFD2" w:rsidR="00367492" w:rsidRPr="004007DC" w:rsidRDefault="00367492" w:rsidP="004007DC">
      <w:pPr>
        <w:pStyle w:val="Body1"/>
        <w:rPr>
          <w:rFonts w:asciiTheme="minorHAnsi" w:eastAsia="Times New Roman" w:hAnsiTheme="minorHAnsi" w:cstheme="minorHAnsi"/>
          <w:i/>
          <w:color w:val="auto"/>
        </w:rPr>
      </w:pPr>
      <w:r w:rsidRPr="004007DC">
        <w:rPr>
          <w:rFonts w:asciiTheme="minorHAnsi" w:eastAsia="Times New Roman" w:hAnsiTheme="minorHAnsi" w:cstheme="minorHAnsi"/>
          <w:i/>
          <w:color w:val="auto"/>
        </w:rPr>
        <w:t xml:space="preserve">Corpus </w:t>
      </w:r>
      <w:proofErr w:type="spellStart"/>
      <w:r w:rsidRPr="004007DC">
        <w:rPr>
          <w:rFonts w:asciiTheme="minorHAnsi" w:eastAsia="Times New Roman" w:hAnsiTheme="minorHAnsi" w:cstheme="minorHAnsi"/>
          <w:i/>
          <w:color w:val="auto"/>
        </w:rPr>
        <w:t>Mysticum</w:t>
      </w:r>
      <w:proofErr w:type="spellEnd"/>
      <w:r w:rsidRPr="004007DC">
        <w:rPr>
          <w:rFonts w:asciiTheme="minorHAnsi" w:eastAsia="Times New Roman" w:hAnsiTheme="minorHAnsi" w:cstheme="minorHAnsi"/>
          <w:i/>
          <w:color w:val="auto"/>
        </w:rPr>
        <w:t xml:space="preserve">: Henri de </w:t>
      </w:r>
      <w:proofErr w:type="spellStart"/>
      <w:r w:rsidRPr="004007DC">
        <w:rPr>
          <w:rFonts w:asciiTheme="minorHAnsi" w:eastAsia="Times New Roman" w:hAnsiTheme="minorHAnsi" w:cstheme="minorHAnsi"/>
          <w:i/>
          <w:color w:val="auto"/>
        </w:rPr>
        <w:t>Lubac</w:t>
      </w:r>
      <w:proofErr w:type="spellEnd"/>
      <w:r w:rsidRPr="004007DC">
        <w:rPr>
          <w:rFonts w:asciiTheme="minorHAnsi" w:eastAsia="Times New Roman" w:hAnsiTheme="minorHAnsi" w:cstheme="minorHAnsi"/>
          <w:i/>
          <w:color w:val="auto"/>
        </w:rPr>
        <w:t xml:space="preserve"> on Nature and Supernature</w:t>
      </w:r>
    </w:p>
    <w:p w14:paraId="5855E0C8" w14:textId="719D3C29" w:rsidR="009A13D2" w:rsidRPr="004007DC" w:rsidRDefault="009A13D2" w:rsidP="004007DC">
      <w:pPr>
        <w:pStyle w:val="Body1"/>
        <w:rPr>
          <w:rFonts w:asciiTheme="minorHAnsi" w:eastAsia="Times New Roman" w:hAnsiTheme="minorHAnsi" w:cstheme="minorHAnsi"/>
          <w:color w:val="auto"/>
        </w:rPr>
      </w:pPr>
    </w:p>
    <w:p w14:paraId="349C492B" w14:textId="69F93DB8" w:rsidR="009A13D2" w:rsidRPr="004007DC" w:rsidRDefault="009A13D2" w:rsidP="004007DC">
      <w:pPr>
        <w:pStyle w:val="NormalWeb"/>
        <w:spacing w:before="2" w:after="2"/>
        <w:ind w:left="0"/>
        <w:rPr>
          <w:rFonts w:asciiTheme="minorHAnsi" w:eastAsia="Times New Roman" w:hAnsiTheme="minorHAnsi" w:cstheme="minorHAnsi"/>
          <w:sz w:val="24"/>
          <w:szCs w:val="24"/>
          <w:lang w:val="en-US"/>
        </w:rPr>
      </w:pPr>
      <w:r w:rsidRPr="004007DC">
        <w:rPr>
          <w:rFonts w:asciiTheme="minorHAnsi" w:hAnsiTheme="minorHAnsi" w:cstheme="minorHAnsi"/>
          <w:sz w:val="24"/>
          <w:szCs w:val="24"/>
          <w:lang w:val="en-US"/>
        </w:rPr>
        <w:t>I</w:t>
      </w:r>
      <w:r w:rsidR="00551E94" w:rsidRPr="004007DC">
        <w:rPr>
          <w:rFonts w:asciiTheme="minorHAnsi" w:hAnsiTheme="minorHAnsi" w:cstheme="minorHAnsi"/>
          <w:sz w:val="24"/>
          <w:szCs w:val="24"/>
          <w:lang w:val="en-US"/>
        </w:rPr>
        <w:t>n this paper I</w:t>
      </w:r>
      <w:r w:rsidRPr="004007DC">
        <w:rPr>
          <w:rFonts w:asciiTheme="minorHAnsi" w:hAnsiTheme="minorHAnsi" w:cstheme="minorHAnsi"/>
          <w:sz w:val="24"/>
          <w:szCs w:val="24"/>
          <w:lang w:val="en-US"/>
        </w:rPr>
        <w:t xml:space="preserve"> propose to discuss the Eucharist of nature and the nature of the Eucharist. </w:t>
      </w:r>
      <w:r w:rsidR="00551E94" w:rsidRPr="004007DC">
        <w:rPr>
          <w:rFonts w:asciiTheme="minorHAnsi" w:eastAsia="Times New Roman" w:hAnsiTheme="minorHAnsi" w:cstheme="minorHAnsi"/>
          <w:sz w:val="24"/>
          <w:szCs w:val="24"/>
          <w:lang w:val="en-US"/>
        </w:rPr>
        <w:t>To</w:t>
      </w:r>
      <w:r w:rsidRPr="004007DC">
        <w:rPr>
          <w:rFonts w:asciiTheme="minorHAnsi" w:eastAsia="Times New Roman" w:hAnsiTheme="minorHAnsi" w:cstheme="minorHAnsi"/>
          <w:sz w:val="24"/>
          <w:szCs w:val="24"/>
          <w:lang w:val="en-US"/>
        </w:rPr>
        <w:t xml:space="preserve"> that purpose I turn to Henri de </w:t>
      </w:r>
      <w:proofErr w:type="spellStart"/>
      <w:r w:rsidRPr="004007DC">
        <w:rPr>
          <w:rFonts w:asciiTheme="minorHAnsi" w:eastAsia="Times New Roman" w:hAnsiTheme="minorHAnsi" w:cstheme="minorHAnsi"/>
          <w:sz w:val="24"/>
          <w:szCs w:val="24"/>
          <w:lang w:val="en-US"/>
        </w:rPr>
        <w:t>Lubac’s</w:t>
      </w:r>
      <w:proofErr w:type="spellEnd"/>
      <w:r w:rsidRPr="004007DC">
        <w:rPr>
          <w:rFonts w:asciiTheme="minorHAnsi" w:eastAsia="Times New Roman" w:hAnsiTheme="minorHAnsi" w:cstheme="minorHAnsi"/>
          <w:sz w:val="24"/>
          <w:szCs w:val="24"/>
          <w:lang w:val="en-US"/>
        </w:rPr>
        <w:t xml:space="preserve"> famous </w:t>
      </w:r>
      <w:r w:rsidRPr="004007DC">
        <w:rPr>
          <w:rFonts w:asciiTheme="minorHAnsi" w:eastAsia="Times New Roman" w:hAnsiTheme="minorHAnsi" w:cstheme="minorHAnsi"/>
          <w:i/>
          <w:sz w:val="24"/>
          <w:szCs w:val="24"/>
          <w:lang w:val="en-US"/>
        </w:rPr>
        <w:t xml:space="preserve">Corpus </w:t>
      </w:r>
      <w:proofErr w:type="spellStart"/>
      <w:r w:rsidRPr="004007DC">
        <w:rPr>
          <w:rFonts w:asciiTheme="minorHAnsi" w:eastAsia="Times New Roman" w:hAnsiTheme="minorHAnsi" w:cstheme="minorHAnsi"/>
          <w:i/>
          <w:sz w:val="24"/>
          <w:szCs w:val="24"/>
          <w:lang w:val="en-US"/>
        </w:rPr>
        <w:t>mysticum</w:t>
      </w:r>
      <w:proofErr w:type="spellEnd"/>
      <w:r w:rsidRPr="004007DC">
        <w:rPr>
          <w:rFonts w:asciiTheme="minorHAnsi" w:eastAsia="Times New Roman" w:hAnsiTheme="minorHAnsi" w:cstheme="minorHAnsi"/>
          <w:sz w:val="24"/>
          <w:szCs w:val="24"/>
          <w:lang w:val="en-US"/>
        </w:rPr>
        <w:t xml:space="preserve"> (1944)</w:t>
      </w:r>
      <w:r w:rsidRPr="004007DC">
        <w:rPr>
          <w:rFonts w:asciiTheme="minorHAnsi" w:eastAsia="Times New Roman" w:hAnsiTheme="minorHAnsi" w:cstheme="minorHAnsi"/>
          <w:i/>
          <w:sz w:val="24"/>
          <w:szCs w:val="24"/>
          <w:lang w:val="en-US"/>
        </w:rPr>
        <w:t xml:space="preserve"> </w:t>
      </w:r>
      <w:r w:rsidRPr="004007DC">
        <w:rPr>
          <w:rFonts w:asciiTheme="minorHAnsi" w:eastAsia="Times New Roman" w:hAnsiTheme="minorHAnsi" w:cstheme="minorHAnsi"/>
          <w:sz w:val="24"/>
          <w:szCs w:val="24"/>
          <w:lang w:val="en-US"/>
        </w:rPr>
        <w:t>which describes the transition of the mystical body in the Eucharist to the body politic of the Church</w:t>
      </w:r>
      <w:r w:rsidRPr="004007DC">
        <w:rPr>
          <w:rFonts w:ascii="Calibri" w:eastAsia="Times New Roman" w:hAnsi="Calibri" w:cs="Calibri"/>
          <w:sz w:val="24"/>
          <w:szCs w:val="24"/>
          <w:lang w:val="en-US"/>
        </w:rPr>
        <w:t>—</w:t>
      </w:r>
      <w:r w:rsidRPr="004007DC">
        <w:rPr>
          <w:rFonts w:asciiTheme="minorHAnsi" w:eastAsia="Times New Roman" w:hAnsiTheme="minorHAnsi" w:cstheme="minorHAnsi"/>
          <w:sz w:val="24"/>
          <w:szCs w:val="24"/>
          <w:lang w:val="en-US"/>
        </w:rPr>
        <w:t xml:space="preserve">a transition whose political afterlife has been traced by Ernst </w:t>
      </w:r>
      <w:proofErr w:type="spellStart"/>
      <w:r w:rsidRPr="004007DC">
        <w:rPr>
          <w:rFonts w:asciiTheme="minorHAnsi" w:eastAsia="Times New Roman" w:hAnsiTheme="minorHAnsi" w:cstheme="minorHAnsi"/>
          <w:sz w:val="24"/>
          <w:szCs w:val="24"/>
          <w:lang w:val="en-US"/>
        </w:rPr>
        <w:t>Kantorowicz</w:t>
      </w:r>
      <w:proofErr w:type="spellEnd"/>
      <w:r w:rsidR="00551E94" w:rsidRPr="004007DC">
        <w:rPr>
          <w:rFonts w:asciiTheme="minorHAnsi" w:eastAsia="Times New Roman" w:hAnsiTheme="minorHAnsi" w:cstheme="minorHAnsi"/>
          <w:sz w:val="24"/>
          <w:szCs w:val="24"/>
          <w:lang w:val="en-US"/>
        </w:rPr>
        <w:t xml:space="preserve"> in his </w:t>
      </w:r>
      <w:r w:rsidR="00551E94" w:rsidRPr="004007DC">
        <w:rPr>
          <w:rFonts w:asciiTheme="minorHAnsi" w:eastAsia="Times New Roman" w:hAnsiTheme="minorHAnsi" w:cstheme="minorHAnsi"/>
          <w:i/>
          <w:iCs/>
          <w:sz w:val="24"/>
          <w:szCs w:val="24"/>
          <w:lang w:val="en-US"/>
        </w:rPr>
        <w:t>The King’s Two Bodies</w:t>
      </w:r>
      <w:r w:rsidRPr="004007DC">
        <w:rPr>
          <w:rFonts w:asciiTheme="minorHAnsi" w:eastAsia="Times New Roman" w:hAnsiTheme="minorHAnsi" w:cstheme="minorHAnsi"/>
          <w:sz w:val="24"/>
          <w:szCs w:val="24"/>
          <w:lang w:val="en-US"/>
        </w:rPr>
        <w:t xml:space="preserve">. </w:t>
      </w:r>
      <w:proofErr w:type="gramStart"/>
      <w:r w:rsidRPr="004007DC">
        <w:rPr>
          <w:rFonts w:asciiTheme="minorHAnsi" w:eastAsia="Times New Roman" w:hAnsiTheme="minorHAnsi" w:cstheme="minorHAnsi"/>
          <w:sz w:val="24"/>
          <w:szCs w:val="24"/>
          <w:lang w:val="en-US"/>
        </w:rPr>
        <w:t>In order to</w:t>
      </w:r>
      <w:proofErr w:type="gramEnd"/>
      <w:r w:rsidRPr="004007DC">
        <w:rPr>
          <w:rFonts w:asciiTheme="minorHAnsi" w:eastAsia="Times New Roman" w:hAnsiTheme="minorHAnsi" w:cstheme="minorHAnsi"/>
          <w:sz w:val="24"/>
          <w:szCs w:val="24"/>
          <w:lang w:val="en-US"/>
        </w:rPr>
        <w:t xml:space="preserve"> get a </w:t>
      </w:r>
      <w:r w:rsidR="00551E94" w:rsidRPr="004007DC">
        <w:rPr>
          <w:rFonts w:asciiTheme="minorHAnsi" w:eastAsia="Times New Roman" w:hAnsiTheme="minorHAnsi" w:cstheme="minorHAnsi"/>
          <w:sz w:val="24"/>
          <w:szCs w:val="24"/>
          <w:lang w:val="en-US"/>
        </w:rPr>
        <w:t xml:space="preserve">better </w:t>
      </w:r>
      <w:r w:rsidRPr="004007DC">
        <w:rPr>
          <w:rFonts w:asciiTheme="minorHAnsi" w:eastAsia="Times New Roman" w:hAnsiTheme="minorHAnsi" w:cstheme="minorHAnsi"/>
          <w:sz w:val="24"/>
          <w:szCs w:val="24"/>
          <w:lang w:val="en-US"/>
        </w:rPr>
        <w:t xml:space="preserve">grip of the problem I turn to de </w:t>
      </w:r>
      <w:proofErr w:type="spellStart"/>
      <w:r w:rsidRPr="004007DC">
        <w:rPr>
          <w:rFonts w:asciiTheme="minorHAnsi" w:eastAsia="Times New Roman" w:hAnsiTheme="minorHAnsi" w:cstheme="minorHAnsi"/>
          <w:sz w:val="24"/>
          <w:szCs w:val="24"/>
          <w:lang w:val="en-US"/>
        </w:rPr>
        <w:t>Lubac’s</w:t>
      </w:r>
      <w:proofErr w:type="spellEnd"/>
      <w:r w:rsidRPr="004007DC">
        <w:rPr>
          <w:rFonts w:asciiTheme="minorHAnsi" w:eastAsia="Times New Roman" w:hAnsiTheme="minorHAnsi" w:cstheme="minorHAnsi"/>
          <w:sz w:val="24"/>
          <w:szCs w:val="24"/>
          <w:lang w:val="en-US"/>
        </w:rPr>
        <w:t xml:space="preserve"> view of nature and supra-nature that underlies the life of the Eucharist. By refining the (then) dominant, Thomistic concept of nature, De </w:t>
      </w:r>
      <w:proofErr w:type="spellStart"/>
      <w:r w:rsidRPr="004007DC">
        <w:rPr>
          <w:rFonts w:asciiTheme="minorHAnsi" w:eastAsia="Times New Roman" w:hAnsiTheme="minorHAnsi" w:cstheme="minorHAnsi"/>
          <w:sz w:val="24"/>
          <w:szCs w:val="24"/>
          <w:lang w:val="en-US"/>
        </w:rPr>
        <w:t>Lubac</w:t>
      </w:r>
      <w:proofErr w:type="spellEnd"/>
      <w:r w:rsidRPr="004007DC">
        <w:rPr>
          <w:rFonts w:asciiTheme="minorHAnsi" w:eastAsia="Times New Roman" w:hAnsiTheme="minorHAnsi" w:cstheme="minorHAnsi"/>
          <w:sz w:val="24"/>
          <w:szCs w:val="24"/>
          <w:lang w:val="en-US"/>
        </w:rPr>
        <w:t xml:space="preserve"> relocates the Eucharist to its old position as the mystical body of Christ without, however, </w:t>
      </w:r>
      <w:r w:rsidR="00551E94" w:rsidRPr="004007DC">
        <w:rPr>
          <w:rFonts w:asciiTheme="minorHAnsi" w:eastAsia="Times New Roman" w:hAnsiTheme="minorHAnsi" w:cstheme="minorHAnsi"/>
          <w:sz w:val="24"/>
          <w:szCs w:val="24"/>
          <w:lang w:val="en-US"/>
        </w:rPr>
        <w:t xml:space="preserve">fully </w:t>
      </w:r>
      <w:r w:rsidRPr="004007DC">
        <w:rPr>
          <w:rFonts w:asciiTheme="minorHAnsi" w:eastAsia="Times New Roman" w:hAnsiTheme="minorHAnsi" w:cstheme="minorHAnsi"/>
          <w:sz w:val="24"/>
          <w:szCs w:val="24"/>
          <w:lang w:val="en-US"/>
        </w:rPr>
        <w:t xml:space="preserve">succeeding in squaring the circle of Church authority and creative thinking. </w:t>
      </w:r>
    </w:p>
    <w:p w14:paraId="54349A13" w14:textId="77777777" w:rsidR="009A13D2" w:rsidRPr="004007DC" w:rsidRDefault="009A13D2" w:rsidP="004007DC">
      <w:pPr>
        <w:pStyle w:val="NormalWeb"/>
        <w:spacing w:before="2" w:after="2"/>
        <w:ind w:left="0"/>
        <w:rPr>
          <w:rFonts w:asciiTheme="minorHAnsi" w:hAnsiTheme="minorHAnsi" w:cstheme="minorHAnsi"/>
          <w:sz w:val="24"/>
          <w:szCs w:val="24"/>
          <w:lang w:val="en-US"/>
        </w:rPr>
      </w:pPr>
    </w:p>
    <w:p w14:paraId="3819D320" w14:textId="0107AF03" w:rsidR="009A13D2" w:rsidRDefault="009A13D2" w:rsidP="004007DC">
      <w:pPr>
        <w:pStyle w:val="NormalWeb"/>
        <w:spacing w:before="2" w:after="2"/>
        <w:ind w:left="0"/>
        <w:rPr>
          <w:rFonts w:asciiTheme="minorHAnsi" w:eastAsia="Times New Roman" w:hAnsiTheme="minorHAnsi" w:cstheme="minorHAnsi"/>
        </w:rPr>
      </w:pPr>
      <w:r w:rsidRPr="00C55776">
        <w:rPr>
          <w:rFonts w:asciiTheme="minorHAnsi" w:hAnsiTheme="minorHAnsi" w:cstheme="minorHAnsi"/>
          <w:sz w:val="24"/>
          <w:szCs w:val="24"/>
          <w:lang w:val="en-US"/>
        </w:rPr>
        <w:t xml:space="preserve"> </w:t>
      </w:r>
    </w:p>
    <w:p w14:paraId="34489006" w14:textId="77777777" w:rsidR="00F773C4" w:rsidRDefault="00F773C4" w:rsidP="00F773C4"/>
    <w:p w14:paraId="00D55E3C" w14:textId="06819548" w:rsidR="00F773C4" w:rsidRDefault="00F773C4" w:rsidP="00F773C4">
      <w:r>
        <w:t xml:space="preserve">William </w:t>
      </w:r>
      <w:proofErr w:type="spellStart"/>
      <w:r>
        <w:t>Schweiker</w:t>
      </w:r>
      <w:proofErr w:type="spellEnd"/>
    </w:p>
    <w:p w14:paraId="148CD960" w14:textId="77777777" w:rsidR="00F773C4" w:rsidRDefault="00F773C4" w:rsidP="00F773C4">
      <w:r>
        <w:rPr>
          <w:i/>
          <w:iCs/>
        </w:rPr>
        <w:t>How Natural is Goodness</w:t>
      </w:r>
      <w:r w:rsidRPr="00DC4AE4">
        <w:rPr>
          <w:i/>
          <w:iCs/>
        </w:rPr>
        <w:t>?</w:t>
      </w:r>
    </w:p>
    <w:p w14:paraId="7A7BE67A" w14:textId="77777777" w:rsidR="00F773C4" w:rsidRDefault="00F773C4" w:rsidP="00F773C4"/>
    <w:p w14:paraId="7E45E145" w14:textId="77777777" w:rsidR="00F773C4" w:rsidRPr="00127D6E" w:rsidRDefault="00F773C4" w:rsidP="00F773C4">
      <w:r>
        <w:t xml:space="preserve">Over the last several decades there has been renewed interest in ethical naturalism among philosophers and theologians: Neo-Aristotelians of various sorts, </w:t>
      </w:r>
      <w:proofErr w:type="spellStart"/>
      <w:r>
        <w:t>theocentricism</w:t>
      </w:r>
      <w:proofErr w:type="spellEnd"/>
      <w:r>
        <w:t xml:space="preserve"> in theological ethics, and some environmental philosophy and theology, to name a few. Ethical naturalists generally hold that moral concepts, properties, and terms are to be understood in terms of claims about the natural world and especially facts pertaining to human beings and human societies. Ethical naturalism is usually contrasted with ethical non-naturalism, that is the denial that moral properties can be reduced to "natural" properties and thus have ontological status of their own, say, the Command of God, grasped by intuition, and moral sense theory, again, to name a few. The debate between these positions is found throughout the history of Western moral thought. Yet debates that are so longstanding and seemingly irresolvable should raise suspicion that something is amiss in the debate itself. This especially true in ethics insofar as its focus is on the conduct of actual life where problems are not merely academic. This essay expresses that suspicion and seeks an answer not in a simple </w:t>
      </w:r>
      <w:r w:rsidRPr="00453C29">
        <w:rPr>
          <w:i/>
          <w:iCs/>
        </w:rPr>
        <w:t>tertium quid</w:t>
      </w:r>
      <w:r>
        <w:t xml:space="preserve">, the reduction to or defeat of one position by the other, or the turn to the analysis of the use of moral language. Drawing on various thinkers (St. Paul, Augustine, Kant, </w:t>
      </w:r>
      <w:proofErr w:type="spellStart"/>
      <w:r>
        <w:t>Ricoeur</w:t>
      </w:r>
      <w:proofErr w:type="spellEnd"/>
      <w:r>
        <w:t xml:space="preserve">) I intend to address the question "how natural is goodness?" from the perspective of thinking philosophically and theologically about moral evil. </w:t>
      </w:r>
      <w:proofErr w:type="gramStart"/>
      <w:r>
        <w:t>In order to</w:t>
      </w:r>
      <w:proofErr w:type="gramEnd"/>
      <w:r>
        <w:t xml:space="preserve"> address the fact and prevalence of moral evil requires, I contend, an account of goodness as both natural and non-natural within a perspective that is at once theological and humanistic. The essay concludes by briefly addressing contemporary worries </w:t>
      </w:r>
      <w:r>
        <w:lastRenderedPageBreak/>
        <w:t>about various endangerments to the natural world and to human beings that must be answered, I contend, from within the offered account of goodness.</w:t>
      </w:r>
    </w:p>
    <w:p w14:paraId="59E021E8" w14:textId="77777777" w:rsidR="00F773C4" w:rsidRPr="001A72F9" w:rsidRDefault="00F773C4" w:rsidP="00F773C4"/>
    <w:p w14:paraId="651B483F" w14:textId="77777777" w:rsidR="00367492" w:rsidRDefault="00367492" w:rsidP="00367492">
      <w:pPr>
        <w:pStyle w:val="xmsonormal"/>
        <w:spacing w:before="0" w:beforeAutospacing="0" w:after="0" w:afterAutospacing="0"/>
        <w:rPr>
          <w:rFonts w:ascii="Calibri" w:hAnsi="Calibri" w:cs="Calibri"/>
          <w:color w:val="000000"/>
          <w:sz w:val="22"/>
          <w:szCs w:val="22"/>
        </w:rPr>
      </w:pPr>
    </w:p>
    <w:p w14:paraId="7FDCED51" w14:textId="77777777" w:rsidR="00F773C4" w:rsidRDefault="00F773C4" w:rsidP="00367492">
      <w:pPr>
        <w:pStyle w:val="xmsonormal"/>
        <w:spacing w:before="0" w:beforeAutospacing="0" w:after="0" w:afterAutospacing="0"/>
        <w:rPr>
          <w:rFonts w:ascii="Calibri" w:hAnsi="Calibri" w:cs="Calibri"/>
          <w:color w:val="000000"/>
        </w:rPr>
      </w:pPr>
    </w:p>
    <w:p w14:paraId="7A6F416C" w14:textId="2456444D" w:rsidR="00367492" w:rsidRPr="002C45F5" w:rsidRDefault="00367492" w:rsidP="00367492">
      <w:pPr>
        <w:pStyle w:val="xmsonormal"/>
        <w:spacing w:before="0" w:beforeAutospacing="0" w:after="0" w:afterAutospacing="0"/>
        <w:rPr>
          <w:rFonts w:ascii="Calibri" w:hAnsi="Calibri" w:cs="Calibri"/>
          <w:color w:val="000000"/>
        </w:rPr>
      </w:pPr>
      <w:r w:rsidRPr="002C45F5">
        <w:rPr>
          <w:rFonts w:ascii="Calibri" w:hAnsi="Calibri" w:cs="Calibri"/>
          <w:color w:val="000000"/>
        </w:rPr>
        <w:t>Wesley Wildman:</w:t>
      </w:r>
    </w:p>
    <w:p w14:paraId="23F5E2A5" w14:textId="25D1BDE8" w:rsidR="00367492" w:rsidRPr="002C45F5" w:rsidRDefault="00367492" w:rsidP="00367492">
      <w:pPr>
        <w:pStyle w:val="xmsonormal"/>
        <w:spacing w:before="0" w:beforeAutospacing="0" w:after="0" w:afterAutospacing="0"/>
        <w:rPr>
          <w:rFonts w:ascii="Calibri" w:hAnsi="Calibri" w:cs="Calibri"/>
          <w:i/>
          <w:iCs/>
          <w:color w:val="000000"/>
        </w:rPr>
      </w:pPr>
      <w:r w:rsidRPr="002C45F5">
        <w:rPr>
          <w:rFonts w:ascii="Calibri" w:hAnsi="Calibri" w:cs="Calibri"/>
          <w:i/>
          <w:iCs/>
          <w:color w:val="000000"/>
        </w:rPr>
        <w:t xml:space="preserve">Prospects for a Naturalist, Critically Humanist, and Mystical </w:t>
      </w:r>
      <w:proofErr w:type="spellStart"/>
      <w:r w:rsidRPr="002C45F5">
        <w:rPr>
          <w:rFonts w:ascii="Calibri" w:hAnsi="Calibri" w:cs="Calibri"/>
          <w:i/>
          <w:iCs/>
          <w:color w:val="000000"/>
        </w:rPr>
        <w:t>Transreligious</w:t>
      </w:r>
      <w:proofErr w:type="spellEnd"/>
      <w:r w:rsidRPr="002C45F5">
        <w:rPr>
          <w:rFonts w:ascii="Calibri" w:hAnsi="Calibri" w:cs="Calibri"/>
          <w:i/>
          <w:iCs/>
          <w:color w:val="000000"/>
        </w:rPr>
        <w:t xml:space="preserve"> Understanding of Ultimate Reality</w:t>
      </w:r>
    </w:p>
    <w:p w14:paraId="2B04A4CA" w14:textId="77777777" w:rsidR="00367492" w:rsidRPr="002C45F5" w:rsidRDefault="00367492" w:rsidP="00367492">
      <w:pPr>
        <w:pStyle w:val="xmsonormal"/>
        <w:spacing w:before="0" w:beforeAutospacing="0" w:after="0" w:afterAutospacing="0"/>
        <w:rPr>
          <w:rFonts w:ascii="Calibri" w:hAnsi="Calibri" w:cs="Calibri"/>
          <w:color w:val="000000"/>
        </w:rPr>
      </w:pPr>
      <w:r w:rsidRPr="002C45F5">
        <w:rPr>
          <w:rFonts w:ascii="Calibri" w:hAnsi="Calibri" w:cs="Calibri"/>
          <w:color w:val="000000"/>
        </w:rPr>
        <w:t> </w:t>
      </w:r>
    </w:p>
    <w:p w14:paraId="6C32B2D8" w14:textId="574957ED" w:rsidR="00367492" w:rsidRPr="002C45F5" w:rsidRDefault="00367492" w:rsidP="00367492">
      <w:pPr>
        <w:pStyle w:val="xmsonormal"/>
        <w:spacing w:before="0" w:beforeAutospacing="0" w:after="0" w:afterAutospacing="0"/>
        <w:rPr>
          <w:rFonts w:ascii="Calibri" w:hAnsi="Calibri" w:cs="Calibri"/>
          <w:color w:val="000000"/>
        </w:rPr>
      </w:pPr>
      <w:r w:rsidRPr="002C45F5">
        <w:rPr>
          <w:rFonts w:ascii="Calibri" w:hAnsi="Calibri" w:cs="Calibri"/>
          <w:color w:val="000000"/>
        </w:rPr>
        <w:t xml:space="preserve">Many theologians take account of the so-called “book of nature” when seeking to assess the plausibility of theological perspectives for which they advocate. Indeed, such nature- and science-grounded plausibility assessments are a major theme within the theology-and-science literature. This essay aims to perform such an assessment for one of the profound perspectives emerging from the </w:t>
      </w:r>
      <w:proofErr w:type="spellStart"/>
      <w:r w:rsidRPr="002C45F5">
        <w:rPr>
          <w:rFonts w:ascii="Calibri" w:hAnsi="Calibri" w:cs="Calibri"/>
          <w:color w:val="000000"/>
        </w:rPr>
        <w:t>transreligious</w:t>
      </w:r>
      <w:proofErr w:type="spellEnd"/>
      <w:r w:rsidRPr="002C45F5">
        <w:rPr>
          <w:rFonts w:ascii="Calibri" w:hAnsi="Calibri" w:cs="Calibri"/>
          <w:color w:val="000000"/>
        </w:rPr>
        <w:t xml:space="preserve"> theology movement (that is, theology for anyone interested, regardless of confessional orientation or religious commitment, also known as Theology Without Walls). This </w:t>
      </w:r>
      <w:proofErr w:type="gramStart"/>
      <w:r w:rsidRPr="002C45F5">
        <w:rPr>
          <w:rFonts w:ascii="Calibri" w:hAnsi="Calibri" w:cs="Calibri"/>
          <w:color w:val="000000"/>
        </w:rPr>
        <w:t>particular perspective</w:t>
      </w:r>
      <w:proofErr w:type="gramEnd"/>
      <w:r w:rsidRPr="002C45F5">
        <w:rPr>
          <w:rFonts w:ascii="Calibri" w:hAnsi="Calibri" w:cs="Calibri"/>
          <w:color w:val="000000"/>
        </w:rPr>
        <w:t xml:space="preserve"> within </w:t>
      </w:r>
      <w:proofErr w:type="spellStart"/>
      <w:r w:rsidRPr="002C45F5">
        <w:rPr>
          <w:rFonts w:ascii="Calibri" w:hAnsi="Calibri" w:cs="Calibri"/>
          <w:color w:val="000000"/>
        </w:rPr>
        <w:t>transreligious</w:t>
      </w:r>
      <w:proofErr w:type="spellEnd"/>
      <w:r w:rsidRPr="002C45F5">
        <w:rPr>
          <w:rFonts w:ascii="Calibri" w:hAnsi="Calibri" w:cs="Calibri"/>
          <w:color w:val="000000"/>
        </w:rPr>
        <w:t xml:space="preserve"> theology is naturalist in metaphysics, critically humanist in ethics, and mystical in theology. This type of philosophical theology rejects concepts of divine beings (and thus is straightforwardly atheist at that level), affirms the God-Beyond-God of many mystical traditions (and thus is peculiarly theist as well, demonstrating the inadequacy of the atheist-theist contrast for capturing some viewpoints), acknowledges that such a view cannot determine the details of an ethics sufficient for daily life (because the God Beyond God ontologically grounds all valuational possibilities and has no moral opinions), and asserts a social-critical enlightened humanism as a compatible ethical framework. One version of this view is specifically Christian, centralizing the following of Jesus as a rubric to refine the moral and spiritual orientation to daily decisions. Another version is specifically Buddhist, adhering to naturalized versions of the Four Noble Truths, the Eight-Fold Noble Path, and the Buddha’s teachings. Yet another version is specifically Confucian, rooted in naturalized readings of the Chinese Classics. Still one other version arises within humanist-atheist spirituality and is embraced by people rejecting religious traditions as a serious threat to ecological and human survival in the Anthropocene. Despite their differences in detail, these (and other) variants share the naturalist, critically humanist, and mystical </w:t>
      </w:r>
      <w:proofErr w:type="spellStart"/>
      <w:r w:rsidRPr="002C45F5">
        <w:rPr>
          <w:rFonts w:ascii="Calibri" w:hAnsi="Calibri" w:cs="Calibri"/>
          <w:color w:val="000000"/>
        </w:rPr>
        <w:t>transreligious</w:t>
      </w:r>
      <w:proofErr w:type="spellEnd"/>
      <w:r w:rsidRPr="002C45F5">
        <w:rPr>
          <w:rFonts w:ascii="Calibri" w:hAnsi="Calibri" w:cs="Calibri"/>
          <w:color w:val="000000"/>
        </w:rPr>
        <w:t xml:space="preserve"> understanding of ultimate reality, as well as a high appreciation for consonance with our best understandings of the world from the human and natural sciences. This essay mounts a case on behalf of this kind of worldview by means of a preliminary comparative evaluation of its plausibility relative to both agential-being models of ultimate reality (</w:t>
      </w:r>
      <w:proofErr w:type="gramStart"/>
      <w:r w:rsidRPr="002C45F5">
        <w:rPr>
          <w:rFonts w:ascii="Calibri" w:hAnsi="Calibri" w:cs="Calibri"/>
          <w:color w:val="000000"/>
        </w:rPr>
        <w:t>e.g.</w:t>
      </w:r>
      <w:proofErr w:type="gramEnd"/>
      <w:r w:rsidRPr="002C45F5">
        <w:rPr>
          <w:rFonts w:ascii="Calibri" w:hAnsi="Calibri" w:cs="Calibri"/>
          <w:color w:val="000000"/>
        </w:rPr>
        <w:t xml:space="preserve"> classical supernatural theism) and subordinate-deity models of ultimate reality (e.g. process theism).</w:t>
      </w:r>
    </w:p>
    <w:p w14:paraId="33BEF4F8" w14:textId="3FC89EB8" w:rsidR="00367492" w:rsidRPr="002C45F5" w:rsidRDefault="00367492" w:rsidP="00367492">
      <w:pPr>
        <w:pStyle w:val="xmsonormal"/>
        <w:spacing w:before="0" w:beforeAutospacing="0" w:after="0" w:afterAutospacing="0"/>
        <w:rPr>
          <w:rFonts w:ascii="Calibri" w:hAnsi="Calibri" w:cs="Calibri"/>
          <w:color w:val="000000"/>
        </w:rPr>
      </w:pPr>
    </w:p>
    <w:p w14:paraId="4FC2CBC6" w14:textId="77777777" w:rsidR="00367492" w:rsidRPr="002C45F5" w:rsidRDefault="00367492" w:rsidP="00367492">
      <w:pPr>
        <w:pStyle w:val="xmsonormal"/>
        <w:spacing w:before="0" w:beforeAutospacing="0" w:after="0" w:afterAutospacing="0"/>
        <w:rPr>
          <w:rFonts w:ascii="Calibri" w:hAnsi="Calibri" w:cs="Calibri"/>
          <w:color w:val="000000"/>
        </w:rPr>
      </w:pPr>
    </w:p>
    <w:p w14:paraId="5B681AFB" w14:textId="2BF00741" w:rsidR="00367492" w:rsidRDefault="00367492"/>
    <w:p w14:paraId="32530A40" w14:textId="77777777" w:rsidR="006F4D3D" w:rsidRDefault="006F4D3D"/>
    <w:p w14:paraId="296277A6" w14:textId="77777777" w:rsidR="006F4D3D" w:rsidRDefault="006F4D3D"/>
    <w:sectPr w:rsidR="006F4D3D" w:rsidSect="00EC098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6BA6F" w14:textId="77777777" w:rsidR="00B8295E" w:rsidRDefault="00B8295E" w:rsidP="006F4D3D">
      <w:r>
        <w:separator/>
      </w:r>
    </w:p>
  </w:endnote>
  <w:endnote w:type="continuationSeparator" w:id="0">
    <w:p w14:paraId="512DEB9E" w14:textId="77777777" w:rsidR="00B8295E" w:rsidRDefault="00B8295E" w:rsidP="006F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5500612"/>
      <w:docPartObj>
        <w:docPartGallery w:val="Page Numbers (Bottom of Page)"/>
        <w:docPartUnique/>
      </w:docPartObj>
    </w:sdtPr>
    <w:sdtEndPr>
      <w:rPr>
        <w:rStyle w:val="PageNumber"/>
      </w:rPr>
    </w:sdtEndPr>
    <w:sdtContent>
      <w:p w14:paraId="61F1BB08" w14:textId="6A9B60E4" w:rsidR="006F4D3D" w:rsidRDefault="006F4D3D" w:rsidP="009407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DB379F" w14:textId="77777777" w:rsidR="006F4D3D" w:rsidRDefault="006F4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491310"/>
      <w:docPartObj>
        <w:docPartGallery w:val="Page Numbers (Bottom of Page)"/>
        <w:docPartUnique/>
      </w:docPartObj>
    </w:sdtPr>
    <w:sdtEndPr>
      <w:rPr>
        <w:rStyle w:val="PageNumber"/>
      </w:rPr>
    </w:sdtEndPr>
    <w:sdtContent>
      <w:p w14:paraId="6F0245FC" w14:textId="66BFFD6B" w:rsidR="006F4D3D" w:rsidRDefault="006F4D3D" w:rsidP="009407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AF9C0B" w14:textId="77777777" w:rsidR="006F4D3D" w:rsidRDefault="006F4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5DFB3" w14:textId="77777777" w:rsidR="00B8295E" w:rsidRDefault="00B8295E" w:rsidP="006F4D3D">
      <w:r>
        <w:separator/>
      </w:r>
    </w:p>
  </w:footnote>
  <w:footnote w:type="continuationSeparator" w:id="0">
    <w:p w14:paraId="3BF97CAA" w14:textId="77777777" w:rsidR="00B8295E" w:rsidRDefault="00B8295E" w:rsidP="006F4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492"/>
    <w:rsid w:val="000A47BF"/>
    <w:rsid w:val="00122917"/>
    <w:rsid w:val="00127D6E"/>
    <w:rsid w:val="001A72F9"/>
    <w:rsid w:val="001E4E3C"/>
    <w:rsid w:val="00216BEC"/>
    <w:rsid w:val="002170E2"/>
    <w:rsid w:val="00236D72"/>
    <w:rsid w:val="00241342"/>
    <w:rsid w:val="0024243E"/>
    <w:rsid w:val="002C45F5"/>
    <w:rsid w:val="002C5AC4"/>
    <w:rsid w:val="002F493E"/>
    <w:rsid w:val="00305001"/>
    <w:rsid w:val="0031376D"/>
    <w:rsid w:val="00367492"/>
    <w:rsid w:val="00371E6D"/>
    <w:rsid w:val="004007DC"/>
    <w:rsid w:val="00441ED3"/>
    <w:rsid w:val="00453C29"/>
    <w:rsid w:val="0047222C"/>
    <w:rsid w:val="0049331E"/>
    <w:rsid w:val="004A7F0A"/>
    <w:rsid w:val="004E2B52"/>
    <w:rsid w:val="004E38E9"/>
    <w:rsid w:val="00551E94"/>
    <w:rsid w:val="0068042E"/>
    <w:rsid w:val="006F4D3D"/>
    <w:rsid w:val="007108BA"/>
    <w:rsid w:val="007C7F02"/>
    <w:rsid w:val="008324E8"/>
    <w:rsid w:val="0086506C"/>
    <w:rsid w:val="00887FB1"/>
    <w:rsid w:val="008D36A2"/>
    <w:rsid w:val="009A13D2"/>
    <w:rsid w:val="00A01AA7"/>
    <w:rsid w:val="00A21E31"/>
    <w:rsid w:val="00A335D4"/>
    <w:rsid w:val="00A442EF"/>
    <w:rsid w:val="00AF3644"/>
    <w:rsid w:val="00B8295E"/>
    <w:rsid w:val="00BC50A6"/>
    <w:rsid w:val="00C45C42"/>
    <w:rsid w:val="00C52F39"/>
    <w:rsid w:val="00C778BC"/>
    <w:rsid w:val="00C8302A"/>
    <w:rsid w:val="00CD561D"/>
    <w:rsid w:val="00DC4AE4"/>
    <w:rsid w:val="00E02009"/>
    <w:rsid w:val="00E22919"/>
    <w:rsid w:val="00E5371D"/>
    <w:rsid w:val="00E54691"/>
    <w:rsid w:val="00EB4387"/>
    <w:rsid w:val="00EC0982"/>
    <w:rsid w:val="00EC10ED"/>
    <w:rsid w:val="00F432E3"/>
    <w:rsid w:val="00F61B6F"/>
    <w:rsid w:val="00F773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B3C2CD7"/>
  <w15:chartTrackingRefBased/>
  <w15:docId w15:val="{638AD81C-8999-3446-B14E-3F21FDEF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367492"/>
    <w:rPr>
      <w:rFonts w:ascii="Helvetica" w:eastAsia="ヒラギノ角ゴ Pro W3" w:hAnsi="Helvetica" w:cs="Times New Roman"/>
      <w:color w:val="000000"/>
      <w:szCs w:val="20"/>
      <w:lang w:eastAsia="nl-NL"/>
    </w:rPr>
  </w:style>
  <w:style w:type="paragraph" w:customStyle="1" w:styleId="xmsonormal">
    <w:name w:val="x_msonormal"/>
    <w:basedOn w:val="Normal"/>
    <w:rsid w:val="0036749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rsid w:val="009A13D2"/>
    <w:pPr>
      <w:spacing w:beforeLines="1" w:afterLines="1"/>
      <w:ind w:left="113"/>
    </w:pPr>
    <w:rPr>
      <w:rFonts w:ascii="Times" w:eastAsiaTheme="minorEastAsia" w:hAnsi="Times" w:cs="Times New Roman"/>
      <w:sz w:val="20"/>
      <w:szCs w:val="20"/>
      <w:lang w:val="nl-NL" w:eastAsia="nl-NL"/>
    </w:rPr>
  </w:style>
  <w:style w:type="character" w:styleId="Strong">
    <w:name w:val="Strong"/>
    <w:basedOn w:val="DefaultParagraphFont"/>
    <w:uiPriority w:val="22"/>
    <w:qFormat/>
    <w:rsid w:val="006F4D3D"/>
    <w:rPr>
      <w:b/>
      <w:bCs/>
    </w:rPr>
  </w:style>
  <w:style w:type="character" w:styleId="Hyperlink">
    <w:name w:val="Hyperlink"/>
    <w:basedOn w:val="DefaultParagraphFont"/>
    <w:uiPriority w:val="99"/>
    <w:semiHidden/>
    <w:unhideWhenUsed/>
    <w:rsid w:val="006F4D3D"/>
    <w:rPr>
      <w:color w:val="0000FF"/>
      <w:u w:val="single"/>
    </w:rPr>
  </w:style>
  <w:style w:type="paragraph" w:styleId="Footer">
    <w:name w:val="footer"/>
    <w:basedOn w:val="Normal"/>
    <w:link w:val="FooterChar"/>
    <w:uiPriority w:val="99"/>
    <w:unhideWhenUsed/>
    <w:rsid w:val="006F4D3D"/>
    <w:pPr>
      <w:tabs>
        <w:tab w:val="center" w:pos="4680"/>
        <w:tab w:val="right" w:pos="9360"/>
      </w:tabs>
    </w:pPr>
  </w:style>
  <w:style w:type="character" w:customStyle="1" w:styleId="FooterChar">
    <w:name w:val="Footer Char"/>
    <w:basedOn w:val="DefaultParagraphFont"/>
    <w:link w:val="Footer"/>
    <w:uiPriority w:val="99"/>
    <w:rsid w:val="006F4D3D"/>
  </w:style>
  <w:style w:type="character" w:styleId="PageNumber">
    <w:name w:val="page number"/>
    <w:basedOn w:val="DefaultParagraphFont"/>
    <w:uiPriority w:val="99"/>
    <w:semiHidden/>
    <w:unhideWhenUsed/>
    <w:rsid w:val="006F4D3D"/>
  </w:style>
  <w:style w:type="paragraph" w:styleId="Header">
    <w:name w:val="header"/>
    <w:basedOn w:val="Normal"/>
    <w:link w:val="HeaderChar"/>
    <w:uiPriority w:val="99"/>
    <w:unhideWhenUsed/>
    <w:rsid w:val="006F4D3D"/>
    <w:pPr>
      <w:tabs>
        <w:tab w:val="center" w:pos="4680"/>
        <w:tab w:val="right" w:pos="9360"/>
      </w:tabs>
    </w:pPr>
  </w:style>
  <w:style w:type="character" w:customStyle="1" w:styleId="HeaderChar">
    <w:name w:val="Header Char"/>
    <w:basedOn w:val="DefaultParagraphFont"/>
    <w:link w:val="Header"/>
    <w:uiPriority w:val="99"/>
    <w:rsid w:val="006F4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158899">
      <w:bodyDiv w:val="1"/>
      <w:marLeft w:val="0"/>
      <w:marRight w:val="0"/>
      <w:marTop w:val="0"/>
      <w:marBottom w:val="0"/>
      <w:divBdr>
        <w:top w:val="none" w:sz="0" w:space="0" w:color="auto"/>
        <w:left w:val="none" w:sz="0" w:space="0" w:color="auto"/>
        <w:bottom w:val="none" w:sz="0" w:space="0" w:color="auto"/>
        <w:right w:val="none" w:sz="0" w:space="0" w:color="auto"/>
      </w:divBdr>
    </w:div>
    <w:div w:id="1761949993">
      <w:bodyDiv w:val="1"/>
      <w:marLeft w:val="0"/>
      <w:marRight w:val="0"/>
      <w:marTop w:val="0"/>
      <w:marBottom w:val="0"/>
      <w:divBdr>
        <w:top w:val="none" w:sz="0" w:space="0" w:color="auto"/>
        <w:left w:val="none" w:sz="0" w:space="0" w:color="auto"/>
        <w:bottom w:val="none" w:sz="0" w:space="0" w:color="auto"/>
        <w:right w:val="none" w:sz="0" w:space="0" w:color="auto"/>
      </w:divBdr>
    </w:div>
    <w:div w:id="210294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Willemien Otten</dc:creator>
  <cp:keywords/>
  <dc:description/>
  <cp:lastModifiedBy>Willemien Otten</cp:lastModifiedBy>
  <cp:revision>4</cp:revision>
  <dcterms:created xsi:type="dcterms:W3CDTF">2022-03-02T20:06:00Z</dcterms:created>
  <dcterms:modified xsi:type="dcterms:W3CDTF">2022-03-03T17:21:00Z</dcterms:modified>
</cp:coreProperties>
</file>